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2A" w:rsidRDefault="00D114C8" w:rsidP="00622B2A">
      <w:pPr>
        <w:pStyle w:val="Title"/>
        <w:rPr>
          <w:rStyle w:val="LabTitleInstVersred"/>
        </w:rPr>
      </w:pPr>
      <w:sdt>
        <w:sdtPr>
          <w:rPr>
            <w:b w:val="0"/>
            <w:color w:val="EE0000"/>
          </w:rPr>
          <w:alias w:val="Titre"/>
          <w:tag w:val=""/>
          <w:id w:val="-487021785"/>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Content>
          <w:r w:rsidR="00814FD4">
            <w:t>Packet Tracer - Configuration OSPFv2 point à point à zone unique</w:t>
          </w:r>
        </w:sdtContent>
      </w:sdt>
      <w:r w:rsidR="00622B2A">
        <w:rPr>
          <w:rStyle w:val="LabTitleInstVersred"/>
        </w:rPr>
        <w:t xml:space="preserve"> </w:t>
      </w:r>
    </w:p>
    <w:p w:rsidR="00622B2A" w:rsidRDefault="00622B2A" w:rsidP="00622B2A">
      <w:pPr>
        <w:pStyle w:val="Title"/>
        <w:rPr>
          <w:rStyle w:val="LabTitleInstVersred"/>
        </w:rPr>
      </w:pPr>
    </w:p>
    <w:p w:rsidR="002A13C3" w:rsidRDefault="002A13C3" w:rsidP="00622B2A">
      <w:pPr>
        <w:pStyle w:val="Title"/>
      </w:pPr>
      <w:r>
        <w:t>Table d'adressage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519"/>
        <w:gridCol w:w="2519"/>
        <w:gridCol w:w="2519"/>
        <w:gridCol w:w="2520"/>
      </w:tblGrid>
      <w:tr w:rsidR="002A13C3" w:rsidTr="00E63A1B">
        <w:trPr>
          <w:cantSplit/>
          <w:tblHeader/>
          <w:jc w:val="center"/>
        </w:trPr>
        <w:tc>
          <w:tcPr>
            <w:tcW w:w="2519"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rsidR="002A13C3" w:rsidRPr="00E87D62" w:rsidRDefault="002A13C3" w:rsidP="00827ED5">
            <w:pPr>
              <w:pStyle w:val="TableHeading"/>
            </w:pPr>
            <w:r>
              <w:t>Appareil</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Interface</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Adresse IP</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Masque de sous-réseau</w:t>
            </w:r>
          </w:p>
        </w:tc>
      </w:tr>
      <w:tr w:rsidR="002A13C3" w:rsidTr="00E63A1B">
        <w:trPr>
          <w:cantSplit/>
          <w:jc w:val="center"/>
        </w:trPr>
        <w:tc>
          <w:tcPr>
            <w:tcW w:w="2519" w:type="dxa"/>
            <w:tcBorders>
              <w:top w:val="single" w:sz="4" w:space="0" w:color="auto"/>
              <w:left w:val="single" w:sz="4" w:space="0" w:color="auto"/>
              <w:bottom w:val="nil"/>
              <w:right w:val="single" w:sz="4" w:space="0" w:color="auto"/>
            </w:tcBorders>
            <w:vAlign w:val="bottom"/>
          </w:tcPr>
          <w:p w:rsidR="002A13C3" w:rsidRDefault="00A45C8B" w:rsidP="00CF5644">
            <w:pPr>
              <w:pStyle w:val="TableText"/>
            </w:pPr>
            <w:r>
              <w:t>R1</w:t>
            </w:r>
          </w:p>
        </w:tc>
        <w:tc>
          <w:tcPr>
            <w:tcW w:w="2519" w:type="dxa"/>
            <w:tcBorders>
              <w:left w:val="single" w:sz="4" w:space="0" w:color="auto"/>
            </w:tcBorders>
            <w:vAlign w:val="bottom"/>
          </w:tcPr>
          <w:p w:rsidR="002A13C3" w:rsidRDefault="002A13C3" w:rsidP="00827ED5">
            <w:pPr>
              <w:pStyle w:val="TableText"/>
            </w:pPr>
            <w:r>
              <w:t>G0/0/0</w:t>
            </w:r>
          </w:p>
        </w:tc>
        <w:tc>
          <w:tcPr>
            <w:tcW w:w="2519" w:type="dxa"/>
            <w:vAlign w:val="bottom"/>
          </w:tcPr>
          <w:p w:rsidR="002A13C3" w:rsidRDefault="002A13C3" w:rsidP="00827ED5">
            <w:pPr>
              <w:pStyle w:val="TableText"/>
            </w:pPr>
            <w:r>
              <w:t>192.168.10.1</w:t>
            </w:r>
          </w:p>
        </w:tc>
        <w:tc>
          <w:tcPr>
            <w:tcW w:w="2520" w:type="dxa"/>
            <w:vAlign w:val="bottom"/>
          </w:tcPr>
          <w:p w:rsidR="002A13C3" w:rsidRDefault="002A13C3" w:rsidP="00827ED5">
            <w:pPr>
              <w:pStyle w:val="TableText"/>
              <w:jc w:val="center"/>
            </w:pPr>
            <w:r>
              <w:t>/24</w:t>
            </w:r>
          </w:p>
        </w:tc>
      </w:tr>
      <w:tr w:rsidR="002A13C3" w:rsidTr="00E63A1B">
        <w:trPr>
          <w:cantSplit/>
          <w:jc w:val="center"/>
        </w:trPr>
        <w:tc>
          <w:tcPr>
            <w:tcW w:w="2519" w:type="dxa"/>
            <w:tcBorders>
              <w:top w:val="nil"/>
              <w:left w:val="single" w:sz="4" w:space="0" w:color="auto"/>
              <w:bottom w:val="nil"/>
              <w:right w:val="single" w:sz="4" w:space="0" w:color="auto"/>
            </w:tcBorders>
            <w:vAlign w:val="bottom"/>
          </w:tcPr>
          <w:p w:rsidR="002A13C3" w:rsidRDefault="008A63E5" w:rsidP="00CF5644">
            <w:pPr>
              <w:pStyle w:val="ConfigWindow"/>
            </w:pPr>
            <w:r>
              <w:t>R1</w:t>
            </w:r>
          </w:p>
        </w:tc>
        <w:tc>
          <w:tcPr>
            <w:tcW w:w="2519" w:type="dxa"/>
            <w:tcBorders>
              <w:left w:val="single" w:sz="4" w:space="0" w:color="auto"/>
            </w:tcBorders>
            <w:vAlign w:val="bottom"/>
          </w:tcPr>
          <w:p w:rsidR="002A13C3" w:rsidRDefault="002A13C3" w:rsidP="00827ED5">
            <w:pPr>
              <w:pStyle w:val="TableText"/>
            </w:pPr>
            <w:r>
              <w:t>S0/1/0</w:t>
            </w:r>
          </w:p>
        </w:tc>
        <w:tc>
          <w:tcPr>
            <w:tcW w:w="2519" w:type="dxa"/>
            <w:vAlign w:val="bottom"/>
          </w:tcPr>
          <w:p w:rsidR="002A13C3" w:rsidRDefault="002A13C3" w:rsidP="00827ED5">
            <w:pPr>
              <w:pStyle w:val="TableText"/>
            </w:pPr>
            <w:r>
              <w:t>10.1.1.1</w:t>
            </w:r>
          </w:p>
        </w:tc>
        <w:tc>
          <w:tcPr>
            <w:tcW w:w="2520" w:type="dxa"/>
            <w:vAlign w:val="bottom"/>
          </w:tcPr>
          <w:p w:rsidR="002A13C3" w:rsidRDefault="002A13C3" w:rsidP="00827ED5">
            <w:pPr>
              <w:pStyle w:val="TableText"/>
              <w:jc w:val="center"/>
            </w:pPr>
            <w:r>
              <w:t>/30</w:t>
            </w:r>
          </w:p>
        </w:tc>
      </w:tr>
      <w:tr w:rsidR="002A13C3" w:rsidTr="00E63A1B">
        <w:trPr>
          <w:cantSplit/>
          <w:jc w:val="center"/>
        </w:trPr>
        <w:tc>
          <w:tcPr>
            <w:tcW w:w="2519" w:type="dxa"/>
            <w:tcBorders>
              <w:top w:val="nil"/>
              <w:left w:val="single" w:sz="4" w:space="0" w:color="auto"/>
              <w:bottom w:val="single" w:sz="4" w:space="0" w:color="auto"/>
              <w:right w:val="single" w:sz="4" w:space="0" w:color="auto"/>
            </w:tcBorders>
            <w:vAlign w:val="bottom"/>
          </w:tcPr>
          <w:p w:rsidR="002A13C3" w:rsidRDefault="007F5DF5" w:rsidP="00CF5644">
            <w:pPr>
              <w:pStyle w:val="ConfigWindow"/>
            </w:pPr>
            <w:r>
              <w:t>R1</w:t>
            </w:r>
          </w:p>
        </w:tc>
        <w:tc>
          <w:tcPr>
            <w:tcW w:w="2519" w:type="dxa"/>
            <w:tcBorders>
              <w:left w:val="single" w:sz="4" w:space="0" w:color="auto"/>
            </w:tcBorders>
            <w:vAlign w:val="bottom"/>
          </w:tcPr>
          <w:p w:rsidR="002A13C3" w:rsidRDefault="002A13C3" w:rsidP="00827ED5">
            <w:pPr>
              <w:pStyle w:val="TableText"/>
            </w:pPr>
            <w:r>
              <w:t>S0/1/1</w:t>
            </w:r>
          </w:p>
        </w:tc>
        <w:tc>
          <w:tcPr>
            <w:tcW w:w="2519" w:type="dxa"/>
            <w:vAlign w:val="bottom"/>
          </w:tcPr>
          <w:p w:rsidR="002A13C3" w:rsidRDefault="002A13C3" w:rsidP="00827ED5">
            <w:pPr>
              <w:pStyle w:val="TableText"/>
            </w:pPr>
            <w:r>
              <w:t>10.1.1.5</w:t>
            </w:r>
          </w:p>
        </w:tc>
        <w:tc>
          <w:tcPr>
            <w:tcW w:w="2520" w:type="dxa"/>
            <w:vAlign w:val="bottom"/>
          </w:tcPr>
          <w:p w:rsidR="002A13C3" w:rsidRDefault="002A13C3" w:rsidP="00827ED5">
            <w:pPr>
              <w:pStyle w:val="TableText"/>
              <w:jc w:val="center"/>
            </w:pPr>
            <w:r>
              <w:t>/30</w:t>
            </w:r>
          </w:p>
        </w:tc>
      </w:tr>
      <w:tr w:rsidR="002A13C3" w:rsidTr="00E63A1B">
        <w:trPr>
          <w:cantSplit/>
          <w:jc w:val="center"/>
        </w:trPr>
        <w:tc>
          <w:tcPr>
            <w:tcW w:w="2519" w:type="dxa"/>
            <w:tcBorders>
              <w:top w:val="single" w:sz="4" w:space="0" w:color="auto"/>
              <w:left w:val="single" w:sz="4" w:space="0" w:color="auto"/>
              <w:bottom w:val="nil"/>
              <w:right w:val="single" w:sz="4" w:space="0" w:color="auto"/>
            </w:tcBorders>
            <w:vAlign w:val="bottom"/>
          </w:tcPr>
          <w:p w:rsidR="002A13C3" w:rsidRDefault="00A45C8B" w:rsidP="00CF5644">
            <w:pPr>
              <w:pStyle w:val="TableText"/>
            </w:pPr>
            <w:r>
              <w:t>R2</w:t>
            </w:r>
          </w:p>
        </w:tc>
        <w:tc>
          <w:tcPr>
            <w:tcW w:w="2519" w:type="dxa"/>
            <w:tcBorders>
              <w:left w:val="single" w:sz="4" w:space="0" w:color="auto"/>
            </w:tcBorders>
            <w:vAlign w:val="bottom"/>
          </w:tcPr>
          <w:p w:rsidR="002A13C3" w:rsidRDefault="002A13C3" w:rsidP="00827ED5">
            <w:pPr>
              <w:pStyle w:val="TableText"/>
            </w:pPr>
            <w:r>
              <w:t>G0/0/0</w:t>
            </w:r>
          </w:p>
        </w:tc>
        <w:tc>
          <w:tcPr>
            <w:tcW w:w="2519" w:type="dxa"/>
            <w:vAlign w:val="bottom"/>
          </w:tcPr>
          <w:p w:rsidR="002A13C3" w:rsidRDefault="002A13C3" w:rsidP="00827ED5">
            <w:pPr>
              <w:pStyle w:val="TableText"/>
            </w:pPr>
            <w:r>
              <w:t>192.168.20.1</w:t>
            </w:r>
          </w:p>
        </w:tc>
        <w:tc>
          <w:tcPr>
            <w:tcW w:w="2520" w:type="dxa"/>
            <w:vAlign w:val="bottom"/>
          </w:tcPr>
          <w:p w:rsidR="002A13C3" w:rsidRDefault="002A13C3" w:rsidP="00827ED5">
            <w:pPr>
              <w:pStyle w:val="TableText"/>
              <w:jc w:val="center"/>
            </w:pPr>
            <w:r>
              <w:t>/24</w:t>
            </w:r>
          </w:p>
        </w:tc>
      </w:tr>
      <w:tr w:rsidR="002A13C3" w:rsidTr="00E63A1B">
        <w:trPr>
          <w:cantSplit/>
          <w:jc w:val="center"/>
        </w:trPr>
        <w:tc>
          <w:tcPr>
            <w:tcW w:w="2519" w:type="dxa"/>
            <w:tcBorders>
              <w:top w:val="nil"/>
              <w:left w:val="single" w:sz="4" w:space="0" w:color="auto"/>
              <w:bottom w:val="nil"/>
              <w:right w:val="single" w:sz="4" w:space="0" w:color="auto"/>
            </w:tcBorders>
            <w:vAlign w:val="bottom"/>
          </w:tcPr>
          <w:p w:rsidR="002A13C3" w:rsidRPr="00E87D62" w:rsidRDefault="00CF5644" w:rsidP="00CF5644">
            <w:pPr>
              <w:pStyle w:val="ConfigWindow"/>
            </w:pPr>
            <w:r>
              <w:t>R2</w:t>
            </w:r>
          </w:p>
        </w:tc>
        <w:tc>
          <w:tcPr>
            <w:tcW w:w="2519" w:type="dxa"/>
            <w:tcBorders>
              <w:left w:val="single" w:sz="4" w:space="0" w:color="auto"/>
            </w:tcBorders>
            <w:vAlign w:val="bottom"/>
          </w:tcPr>
          <w:p w:rsidR="002A13C3" w:rsidRPr="00E87D62" w:rsidRDefault="002A13C3" w:rsidP="00827ED5">
            <w:pPr>
              <w:pStyle w:val="TableText"/>
            </w:pPr>
            <w:r>
              <w:t>S0/1/0</w:t>
            </w:r>
          </w:p>
        </w:tc>
        <w:tc>
          <w:tcPr>
            <w:tcW w:w="2519" w:type="dxa"/>
            <w:vAlign w:val="bottom"/>
          </w:tcPr>
          <w:p w:rsidR="002A13C3" w:rsidRPr="00E87D62" w:rsidRDefault="002A13C3" w:rsidP="00827ED5">
            <w:pPr>
              <w:pStyle w:val="TableText"/>
            </w:pPr>
            <w:r>
              <w:t>10.1.1.2</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nil"/>
              <w:left w:val="single" w:sz="4" w:space="0" w:color="auto"/>
              <w:bottom w:val="single" w:sz="4" w:space="0" w:color="auto"/>
              <w:right w:val="single" w:sz="4" w:space="0" w:color="auto"/>
            </w:tcBorders>
            <w:vAlign w:val="bottom"/>
          </w:tcPr>
          <w:p w:rsidR="002A13C3" w:rsidRPr="00E87D62" w:rsidRDefault="00CF5644" w:rsidP="00CF5644">
            <w:pPr>
              <w:pStyle w:val="ConfigWindow"/>
            </w:pPr>
            <w:r>
              <w:t>R2</w:t>
            </w:r>
          </w:p>
        </w:tc>
        <w:tc>
          <w:tcPr>
            <w:tcW w:w="2519" w:type="dxa"/>
            <w:tcBorders>
              <w:left w:val="single" w:sz="4" w:space="0" w:color="auto"/>
            </w:tcBorders>
            <w:vAlign w:val="bottom"/>
          </w:tcPr>
          <w:p w:rsidR="002A13C3" w:rsidRPr="00E87D62" w:rsidRDefault="002A13C3" w:rsidP="00827ED5">
            <w:pPr>
              <w:pStyle w:val="TableText"/>
            </w:pPr>
            <w:r>
              <w:t>S0/1/1</w:t>
            </w:r>
          </w:p>
        </w:tc>
        <w:tc>
          <w:tcPr>
            <w:tcW w:w="2519" w:type="dxa"/>
            <w:vAlign w:val="bottom"/>
          </w:tcPr>
          <w:p w:rsidR="002A13C3" w:rsidRPr="00E87D62" w:rsidRDefault="002A13C3" w:rsidP="00827ED5">
            <w:pPr>
              <w:pStyle w:val="TableText"/>
            </w:pPr>
            <w:r>
              <w:t>10.1.1.9</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single" w:sz="4" w:space="0" w:color="auto"/>
              <w:bottom w:val="nil"/>
            </w:tcBorders>
            <w:vAlign w:val="bottom"/>
          </w:tcPr>
          <w:p w:rsidR="002A13C3" w:rsidRPr="00E87D62" w:rsidRDefault="00A45C8B" w:rsidP="00CF5644">
            <w:pPr>
              <w:pStyle w:val="TableText"/>
            </w:pPr>
            <w:r>
              <w:t>R3</w:t>
            </w:r>
          </w:p>
        </w:tc>
        <w:tc>
          <w:tcPr>
            <w:tcW w:w="2519" w:type="dxa"/>
            <w:vAlign w:val="bottom"/>
          </w:tcPr>
          <w:p w:rsidR="002A13C3" w:rsidRPr="00E87D62" w:rsidRDefault="002A13C3" w:rsidP="00827ED5">
            <w:pPr>
              <w:pStyle w:val="TableText"/>
            </w:pPr>
            <w:r>
              <w:t>G0/0/0</w:t>
            </w:r>
          </w:p>
        </w:tc>
        <w:tc>
          <w:tcPr>
            <w:tcW w:w="2519" w:type="dxa"/>
            <w:vAlign w:val="bottom"/>
          </w:tcPr>
          <w:p w:rsidR="002A13C3" w:rsidRPr="00E87D62" w:rsidRDefault="002A13C3" w:rsidP="00827ED5">
            <w:pPr>
              <w:pStyle w:val="TableText"/>
            </w:pPr>
            <w:r>
              <w:t>192.168.30.1</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tcBorders>
              <w:top w:val="nil"/>
              <w:bottom w:val="nil"/>
            </w:tcBorders>
            <w:vAlign w:val="bottom"/>
          </w:tcPr>
          <w:p w:rsidR="002A13C3" w:rsidRPr="00E87D62" w:rsidRDefault="00CF5644" w:rsidP="00CF5644">
            <w:pPr>
              <w:pStyle w:val="ConfigWindow"/>
            </w:pPr>
            <w:r>
              <w:t>R3</w:t>
            </w:r>
          </w:p>
        </w:tc>
        <w:tc>
          <w:tcPr>
            <w:tcW w:w="2519" w:type="dxa"/>
            <w:vAlign w:val="bottom"/>
          </w:tcPr>
          <w:p w:rsidR="002A13C3" w:rsidRPr="00E87D62" w:rsidRDefault="002A13C3" w:rsidP="00827ED5">
            <w:pPr>
              <w:pStyle w:val="TableText"/>
            </w:pPr>
            <w:r>
              <w:t>S0/1/0</w:t>
            </w:r>
          </w:p>
        </w:tc>
        <w:tc>
          <w:tcPr>
            <w:tcW w:w="2519" w:type="dxa"/>
            <w:vAlign w:val="bottom"/>
          </w:tcPr>
          <w:p w:rsidR="002A13C3" w:rsidRPr="00E87D62" w:rsidRDefault="002A13C3" w:rsidP="00827ED5">
            <w:pPr>
              <w:pStyle w:val="TableText"/>
            </w:pPr>
            <w:r>
              <w:t>10.1.1.10</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nil"/>
            </w:tcBorders>
            <w:vAlign w:val="bottom"/>
          </w:tcPr>
          <w:p w:rsidR="002A13C3" w:rsidRPr="00E87D62" w:rsidRDefault="00CF5644" w:rsidP="00CF5644">
            <w:pPr>
              <w:pStyle w:val="ConfigWindow"/>
            </w:pPr>
            <w:r>
              <w:t>R3</w:t>
            </w:r>
          </w:p>
        </w:tc>
        <w:tc>
          <w:tcPr>
            <w:tcW w:w="2519" w:type="dxa"/>
            <w:vAlign w:val="bottom"/>
          </w:tcPr>
          <w:p w:rsidR="002A13C3" w:rsidRPr="00E87D62" w:rsidRDefault="002A13C3" w:rsidP="00827ED5">
            <w:pPr>
              <w:pStyle w:val="TableText"/>
            </w:pPr>
            <w:r>
              <w:t>S0/1/1</w:t>
            </w:r>
          </w:p>
        </w:tc>
        <w:tc>
          <w:tcPr>
            <w:tcW w:w="2519" w:type="dxa"/>
            <w:vAlign w:val="bottom"/>
          </w:tcPr>
          <w:p w:rsidR="002A13C3" w:rsidRPr="00E87D62" w:rsidRDefault="002A13C3" w:rsidP="00827ED5">
            <w:pPr>
              <w:pStyle w:val="TableText"/>
            </w:pPr>
            <w:r>
              <w:t>10.1.1.6</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vAlign w:val="bottom"/>
          </w:tcPr>
          <w:p w:rsidR="002A13C3" w:rsidRPr="00E87D62" w:rsidRDefault="002A13C3" w:rsidP="00CF5644">
            <w:pPr>
              <w:pStyle w:val="TableText"/>
            </w:pPr>
            <w:r>
              <w:t>PC1</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192.168.10.10</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vAlign w:val="bottom"/>
          </w:tcPr>
          <w:p w:rsidR="002A13C3" w:rsidRDefault="002A13C3" w:rsidP="00CF5644">
            <w:pPr>
              <w:pStyle w:val="TableText"/>
            </w:pPr>
            <w:r>
              <w:t>PC2</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192.168.20.10</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vAlign w:val="bottom"/>
          </w:tcPr>
          <w:p w:rsidR="002A13C3" w:rsidRDefault="002A13C3" w:rsidP="00CF5644">
            <w:pPr>
              <w:pStyle w:val="TableText"/>
            </w:pPr>
            <w:r>
              <w:t>PC3</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192.168.30.10</w:t>
            </w:r>
          </w:p>
        </w:tc>
        <w:tc>
          <w:tcPr>
            <w:tcW w:w="2520" w:type="dxa"/>
            <w:vAlign w:val="bottom"/>
          </w:tcPr>
          <w:p w:rsidR="002A13C3" w:rsidRPr="00E87D62" w:rsidRDefault="002A13C3" w:rsidP="00827ED5">
            <w:pPr>
              <w:pStyle w:val="TableText"/>
              <w:jc w:val="center"/>
            </w:pPr>
            <w:r>
              <w:t>/24</w:t>
            </w:r>
          </w:p>
        </w:tc>
      </w:tr>
    </w:tbl>
    <w:p w:rsidR="002A13C3" w:rsidRPr="006E6581" w:rsidRDefault="002A13C3" w:rsidP="002A13C3">
      <w:pPr>
        <w:pStyle w:val="Heading1"/>
        <w:numPr>
          <w:ilvl w:val="0"/>
          <w:numId w:val="3"/>
        </w:numPr>
      </w:pPr>
      <w:r>
        <w:t>Objectifs</w:t>
      </w:r>
    </w:p>
    <w:p w:rsidR="002A13C3" w:rsidRPr="004C0909" w:rsidRDefault="002A13C3" w:rsidP="002A13C3">
      <w:pPr>
        <w:pStyle w:val="BodyTextL25Bold"/>
      </w:pPr>
      <w:r>
        <w:t>Partie 1 : Configurer les ID du routeur.</w:t>
      </w:r>
    </w:p>
    <w:p w:rsidR="002A13C3" w:rsidRDefault="002A13C3" w:rsidP="002A13C3">
      <w:pPr>
        <w:pStyle w:val="BodyTextL25Bold"/>
      </w:pPr>
      <w:r>
        <w:t>Partie 2 : Configurer les réseaux pour le routage OSPF.</w:t>
      </w:r>
    </w:p>
    <w:p w:rsidR="002A13C3" w:rsidRDefault="002A13C3" w:rsidP="002A13C3">
      <w:pPr>
        <w:pStyle w:val="BodyTextL25Bold"/>
      </w:pPr>
      <w:r>
        <w:t>Partie 3 : Configuration des interfaces passives.</w:t>
      </w:r>
    </w:p>
    <w:p w:rsidR="002A13C3" w:rsidRDefault="002A13C3" w:rsidP="002A13C3">
      <w:pPr>
        <w:pStyle w:val="BodyTextL25Bold"/>
      </w:pPr>
      <w:r>
        <w:t>Partie 4 : Vérifier la configuration OSPF.</w:t>
      </w:r>
    </w:p>
    <w:p w:rsidR="002A13C3" w:rsidRPr="00C07FD9" w:rsidRDefault="002A13C3" w:rsidP="002A13C3">
      <w:pPr>
        <w:pStyle w:val="Heading1"/>
        <w:numPr>
          <w:ilvl w:val="0"/>
          <w:numId w:val="3"/>
        </w:numPr>
      </w:pPr>
      <w:r>
        <w:t xml:space="preserve">Contexte </w:t>
      </w:r>
    </w:p>
    <w:p w:rsidR="00971E91" w:rsidRDefault="002A13C3" w:rsidP="002A13C3">
      <w:pPr>
        <w:pStyle w:val="BodyTextL25"/>
      </w:pPr>
      <w:r>
        <w:t>Dans cette activité, vous allez activer le routage OSPF à l'aide d'instructions réseau et de masques génériques, configurer le routage OSPF sur les interfaces et utiliser les masques quad-zéro des instructions réseau. En outre, vous allez configurer des ID de routeur explicites et des interfaces passives.</w:t>
      </w:r>
    </w:p>
    <w:p w:rsidR="002A13C3" w:rsidRDefault="00971E91" w:rsidP="00971E91">
      <w:pPr>
        <w:pStyle w:val="Heading1"/>
      </w:pPr>
      <w:r>
        <w:t>Instructions</w:t>
      </w:r>
    </w:p>
    <w:p w:rsidR="002A13C3" w:rsidRDefault="002A13C3" w:rsidP="00C049E9">
      <w:pPr>
        <w:pStyle w:val="Heading2"/>
      </w:pPr>
      <w:r>
        <w:t>Configurer un ID de routeur</w:t>
      </w:r>
    </w:p>
    <w:p w:rsidR="002A13C3" w:rsidRDefault="002A13C3" w:rsidP="00C049E9">
      <w:pPr>
        <w:pStyle w:val="SubStepAlpha"/>
        <w:spacing w:after="0"/>
      </w:pPr>
      <w:r>
        <w:t xml:space="preserve">Démarrez le processus de routage OSPF sur les trois routeurs. Utilisez le processus ID </w:t>
      </w:r>
      <w:r w:rsidRPr="0055660C">
        <w:rPr>
          <w:b/>
        </w:rPr>
        <w:t>10</w:t>
      </w:r>
      <w:r>
        <w:t>.</w:t>
      </w:r>
    </w:p>
    <w:p w:rsidR="00C049E9" w:rsidRDefault="00C049E9" w:rsidP="00C049E9">
      <w:pPr>
        <w:pStyle w:val="ConfigWindow"/>
      </w:pPr>
      <w:r>
        <w:t>Ouvrez la fenêtre de configuration.</w:t>
      </w:r>
    </w:p>
    <w:p w:rsidR="002A13C3" w:rsidRDefault="002A13C3" w:rsidP="002A13C3">
      <w:pPr>
        <w:pStyle w:val="CMD"/>
      </w:pPr>
      <w:r>
        <w:t xml:space="preserve">Router(config)# </w:t>
      </w:r>
      <w:r>
        <w:rPr>
          <w:b/>
        </w:rPr>
        <w:t>router ospf</w:t>
      </w:r>
      <w:r w:rsidRPr="0055660C">
        <w:rPr>
          <w:i/>
        </w:rPr>
        <w:t xml:space="preserve"> process-id</w:t>
      </w:r>
    </w:p>
    <w:p w:rsidR="002A13C3" w:rsidRDefault="002A13C3" w:rsidP="00532197">
      <w:pPr>
        <w:pStyle w:val="SubStepAlpha"/>
      </w:pPr>
      <w:r>
        <w:t>Utilisez la commande router-id pour définir les ID OSPF des trois routeurs comme suit</w:t>
      </w:r>
    </w:p>
    <w:p w:rsidR="002A13C3" w:rsidRDefault="002A13C3" w:rsidP="002A13C3">
      <w:pPr>
        <w:pStyle w:val="Bulletlevel1"/>
        <w:tabs>
          <w:tab w:val="clear" w:pos="720"/>
          <w:tab w:val="num" w:pos="1080"/>
        </w:tabs>
        <w:spacing w:before="60" w:after="60" w:line="276" w:lineRule="auto"/>
        <w:ind w:left="1080"/>
      </w:pPr>
      <w:r>
        <w:t xml:space="preserve">R1: </w:t>
      </w:r>
      <w:r w:rsidRPr="00D12A14">
        <w:rPr>
          <w:b/>
        </w:rPr>
        <w:t>1.1.1.1</w:t>
      </w:r>
    </w:p>
    <w:p w:rsidR="002A13C3" w:rsidRDefault="002A13C3" w:rsidP="002A13C3">
      <w:pPr>
        <w:pStyle w:val="Bulletlevel1"/>
        <w:tabs>
          <w:tab w:val="clear" w:pos="720"/>
          <w:tab w:val="num" w:pos="1080"/>
        </w:tabs>
        <w:spacing w:before="60" w:after="60" w:line="276" w:lineRule="auto"/>
        <w:ind w:left="1080"/>
      </w:pPr>
      <w:r>
        <w:lastRenderedPageBreak/>
        <w:t xml:space="preserve">R2: </w:t>
      </w:r>
      <w:r w:rsidRPr="00D12A14">
        <w:rPr>
          <w:b/>
        </w:rPr>
        <w:t>2.2.2.2</w:t>
      </w:r>
    </w:p>
    <w:p w:rsidR="002A13C3" w:rsidRPr="008439E7" w:rsidRDefault="002A13C3" w:rsidP="002A13C3">
      <w:pPr>
        <w:pStyle w:val="Bulletlevel1"/>
        <w:tabs>
          <w:tab w:val="clear" w:pos="720"/>
          <w:tab w:val="num" w:pos="1080"/>
        </w:tabs>
        <w:spacing w:before="60" w:after="60" w:line="276" w:lineRule="auto"/>
        <w:ind w:left="1080"/>
      </w:pPr>
      <w:r>
        <w:t xml:space="preserve">R3: </w:t>
      </w:r>
      <w:r w:rsidRPr="00D12A14">
        <w:rPr>
          <w:b/>
        </w:rPr>
        <w:t>3.3.3.3</w:t>
      </w:r>
    </w:p>
    <w:p w:rsidR="002A13C3" w:rsidRDefault="002A13C3" w:rsidP="002A13C3">
      <w:pPr>
        <w:pStyle w:val="BodyTextL50"/>
      </w:pPr>
      <w:r>
        <w:t>Utilisez la commande suivante :</w:t>
      </w:r>
    </w:p>
    <w:p w:rsidR="002A13C3" w:rsidRDefault="002A13C3" w:rsidP="002A13C3">
      <w:pPr>
        <w:pStyle w:val="CMD"/>
        <w:rPr>
          <w:i/>
        </w:rPr>
      </w:pPr>
      <w:r>
        <w:t>Router(config-router)#</w:t>
      </w:r>
      <w:r w:rsidRPr="0055660C">
        <w:rPr>
          <w:b/>
        </w:rPr>
        <w:t xml:space="preserve"> router-id</w:t>
      </w:r>
      <w:r w:rsidRPr="0055660C">
        <w:rPr>
          <w:i/>
        </w:rPr>
        <w:t xml:space="preserve"> rid</w:t>
      </w:r>
    </w:p>
    <w:p w:rsidR="00C049E9" w:rsidRPr="0089747D" w:rsidRDefault="00C049E9" w:rsidP="00C049E9">
      <w:pPr>
        <w:pStyle w:val="ConfigWindow"/>
      </w:pPr>
      <w:r>
        <w:t>Fermez la fenêtre de configuration.</w:t>
      </w:r>
    </w:p>
    <w:p w:rsidR="002A13C3" w:rsidRDefault="002A13C3" w:rsidP="00C049E9">
      <w:pPr>
        <w:pStyle w:val="Heading2"/>
      </w:pPr>
      <w:r>
        <w:t>Configurer les réseaux pour le routage OSPF</w:t>
      </w:r>
    </w:p>
    <w:p w:rsidR="002A13C3" w:rsidRPr="001D0F32" w:rsidRDefault="002A13C3" w:rsidP="00E63A1B">
      <w:pPr>
        <w:pStyle w:val="Heading3"/>
      </w:pPr>
      <w:r>
        <w:t>Configurer les réseaux pour le routage OSPF en utilisant des commandes réseau et des masques de joker.</w:t>
      </w:r>
    </w:p>
    <w:p w:rsidR="00532197" w:rsidRDefault="00532197" w:rsidP="00532197">
      <w:pPr>
        <w:pStyle w:val="Heading4"/>
      </w:pPr>
      <w:r>
        <w:t>Questions :</w:t>
      </w:r>
    </w:p>
    <w:p w:rsidR="001D0F32" w:rsidRDefault="002A13C3" w:rsidP="00532197">
      <w:pPr>
        <w:pStyle w:val="BodyTextL25"/>
        <w:spacing w:before="0"/>
      </w:pPr>
      <w:r>
        <w:t>Combien d'instructions sont nécessaires pour configurer OSPF pour router tous les réseaux connectés au routeur R1 ?</w:t>
      </w:r>
    </w:p>
    <w:p w:rsidR="001D0F32" w:rsidRDefault="001D0F32" w:rsidP="001D0F32">
      <w:pPr>
        <w:pStyle w:val="AnswerLineL25"/>
      </w:pPr>
      <w:r>
        <w:t>Saisissez vos réponses ici</w:t>
      </w:r>
    </w:p>
    <w:p w:rsidR="001D0F32" w:rsidRDefault="002A13C3" w:rsidP="002A13C3">
      <w:pPr>
        <w:pStyle w:val="BodyTextL25"/>
      </w:pPr>
      <w:r>
        <w:t>Le réseau local connecté au routeur R1 a un masque /24. Quel est l'équivalent de ce masque dans la représentation décimale pointillée ?</w:t>
      </w:r>
    </w:p>
    <w:p w:rsidR="002A13C3" w:rsidRDefault="001D0F32" w:rsidP="00622B2A">
      <w:pPr>
        <w:pStyle w:val="AnswerLineL25"/>
        <w:rPr>
          <w:rStyle w:val="AnswerGray"/>
        </w:rPr>
      </w:pPr>
      <w:r>
        <w:t xml:space="preserve">Saisissez vos </w:t>
      </w:r>
    </w:p>
    <w:p w:rsidR="001D0F32" w:rsidRDefault="002A13C3" w:rsidP="002A13C3">
      <w:pPr>
        <w:pStyle w:val="BodyTextL25"/>
      </w:pPr>
      <w:r>
        <w:t>Soustrayez le masque de sous-réseau décimal en pointillé de 255.255.255.255. Quel est le résultat ?</w:t>
      </w:r>
    </w:p>
    <w:p w:rsidR="001D0F32" w:rsidRDefault="001D0F32" w:rsidP="001D0F32">
      <w:pPr>
        <w:pStyle w:val="AnswerLineL25"/>
      </w:pPr>
      <w:r>
        <w:t>Saisissez vos réponses ici</w:t>
      </w:r>
    </w:p>
    <w:p w:rsidR="001D0F32" w:rsidRDefault="002A13C3" w:rsidP="002A13C3">
      <w:pPr>
        <w:pStyle w:val="BodyTextL25"/>
      </w:pPr>
      <w:r>
        <w:t>Quel est l'équivalent décimal en pointillés du masque de sous-réseau /30 ?</w:t>
      </w:r>
    </w:p>
    <w:p w:rsidR="00622B2A" w:rsidRDefault="00622B2A" w:rsidP="002A13C3">
      <w:pPr>
        <w:pStyle w:val="BodyTextL25"/>
      </w:pPr>
    </w:p>
    <w:p w:rsidR="001D0F32" w:rsidRPr="00831EC2" w:rsidRDefault="002A13C3" w:rsidP="002A13C3">
      <w:pPr>
        <w:pStyle w:val="BodyTextL25"/>
      </w:pPr>
      <w:r>
        <w:t>Soustrayez la représentation décimale pointillée du masque /30 de 255.255.255.255. Quel est le résultat ?</w:t>
      </w:r>
    </w:p>
    <w:p w:rsidR="001D0F32" w:rsidRPr="001D0F32" w:rsidRDefault="001D0F32" w:rsidP="001D0F32">
      <w:pPr>
        <w:pStyle w:val="AnswerLineL25"/>
      </w:pPr>
      <w:r>
        <w:t>Saisissez vos réponses ici</w:t>
      </w:r>
    </w:p>
    <w:p w:rsidR="002A13C3" w:rsidRDefault="002A13C3" w:rsidP="00C049E9">
      <w:pPr>
        <w:pStyle w:val="SubStepAlpha"/>
        <w:spacing w:after="0"/>
      </w:pPr>
      <w:r>
        <w:t>Configurez le processus de routage sur R1 avec les instructions réseau et les masques génériques nécessaires pour activer le routage OSPF pour tous les réseaux connectés. Les valeurs d'instruction réseau doivent être les adresses réseau ou sous-réseau des réseaux configurés.</w:t>
      </w:r>
    </w:p>
    <w:p w:rsidR="00C049E9" w:rsidRPr="00075502" w:rsidRDefault="00C049E9" w:rsidP="00C049E9">
      <w:pPr>
        <w:pStyle w:val="ConfigWindow"/>
      </w:pPr>
      <w:r>
        <w:t>Ouvrez la fenêtre de configuration.</w:t>
      </w:r>
    </w:p>
    <w:p w:rsidR="002A13C3" w:rsidRPr="00622B2A" w:rsidRDefault="002A13C3" w:rsidP="002A13C3">
      <w:pPr>
        <w:pStyle w:val="CMD"/>
        <w:rPr>
          <w:lang w:val="en-US"/>
        </w:rPr>
      </w:pPr>
      <w:proofErr w:type="gramStart"/>
      <w:r w:rsidRPr="00622B2A">
        <w:rPr>
          <w:lang w:val="en-US"/>
        </w:rPr>
        <w:t>Router(</w:t>
      </w:r>
      <w:proofErr w:type="spellStart"/>
      <w:proofErr w:type="gramEnd"/>
      <w:r w:rsidRPr="00622B2A">
        <w:rPr>
          <w:lang w:val="en-US"/>
        </w:rPr>
        <w:t>config</w:t>
      </w:r>
      <w:proofErr w:type="spellEnd"/>
      <w:r w:rsidRPr="00622B2A">
        <w:rPr>
          <w:lang w:val="en-US"/>
        </w:rPr>
        <w:t>-router)#</w:t>
      </w:r>
      <w:r w:rsidRPr="00622B2A">
        <w:rPr>
          <w:b/>
          <w:lang w:val="en-US"/>
        </w:rPr>
        <w:t xml:space="preserve"> network</w:t>
      </w:r>
      <w:r w:rsidRPr="00622B2A">
        <w:rPr>
          <w:lang w:val="en-US"/>
        </w:rPr>
        <w:t xml:space="preserve"> network-address wildcard-mask </w:t>
      </w:r>
      <w:r w:rsidRPr="00622B2A">
        <w:rPr>
          <w:b/>
          <w:lang w:val="en-US"/>
        </w:rPr>
        <w:t>area</w:t>
      </w:r>
      <w:r w:rsidRPr="00622B2A">
        <w:rPr>
          <w:lang w:val="en-US"/>
        </w:rPr>
        <w:t xml:space="preserve"> area-id</w:t>
      </w:r>
    </w:p>
    <w:p w:rsidR="002A13C3" w:rsidRPr="00075502" w:rsidRDefault="002A13C3" w:rsidP="00532197">
      <w:pPr>
        <w:pStyle w:val="SubStepAlpha"/>
      </w:pPr>
      <w:r>
        <w:t xml:space="preserve">Vérifiez </w:t>
      </w:r>
      <w:proofErr w:type="gramStart"/>
      <w:r>
        <w:t>que OSPF</w:t>
      </w:r>
      <w:proofErr w:type="gramEnd"/>
      <w:r>
        <w:t xml:space="preserve"> a été configuré correctement en affichant la configuration en cours d'exécution. Si vous trouvez une erreur, supprimez l'instruction réseau à l'aide de la commande </w:t>
      </w:r>
      <w:r w:rsidRPr="00A45C8B">
        <w:rPr>
          <w:b/>
        </w:rPr>
        <w:t>no</w:t>
      </w:r>
      <w:r>
        <w:t xml:space="preserve"> et reconfigurez-la.</w:t>
      </w:r>
    </w:p>
    <w:p w:rsidR="002A13C3" w:rsidRPr="00075502" w:rsidRDefault="002A13C3" w:rsidP="00E63A1B">
      <w:pPr>
        <w:pStyle w:val="Heading3"/>
      </w:pPr>
      <w:r>
        <w:t>Configurez les réseaux pour le routage OSPF à l'aide d'adresses IP d'interface et de masques quad-zéro.</w:t>
      </w:r>
    </w:p>
    <w:p w:rsidR="002A13C3" w:rsidRDefault="002A13C3" w:rsidP="002A13C3">
      <w:pPr>
        <w:pStyle w:val="BodyTextL25"/>
      </w:pPr>
      <w:r>
        <w:t>Sur le routeur R2, configurez OSPF à l'aide de commandes réseau avec les adresses IP des interfaces et les masques quad-zéro. La syntaxe de la commande network est la même que celle utilisée ci-dessus.</w:t>
      </w:r>
    </w:p>
    <w:p w:rsidR="002A13C3" w:rsidRDefault="002A13C3" w:rsidP="00E63A1B">
      <w:pPr>
        <w:pStyle w:val="Heading3"/>
      </w:pPr>
      <w:r>
        <w:t>Configurer le routage OSPF sur les interfaces de routeur</w:t>
      </w:r>
    </w:p>
    <w:p w:rsidR="002A13C3" w:rsidRDefault="002A13C3" w:rsidP="002A13C3">
      <w:pPr>
        <w:pStyle w:val="BodyTextL25"/>
      </w:pPr>
      <w:r>
        <w:t xml:space="preserve">Sur le routeur R3, configurez les interfaces requises avec OSPF. </w:t>
      </w:r>
    </w:p>
    <w:p w:rsidR="00532197" w:rsidRDefault="00532197" w:rsidP="00532197">
      <w:pPr>
        <w:pStyle w:val="Heading4"/>
      </w:pPr>
      <w:r>
        <w:t>Question :</w:t>
      </w:r>
    </w:p>
    <w:p w:rsidR="001D0F32" w:rsidRDefault="002A13C3" w:rsidP="00532197">
      <w:pPr>
        <w:pStyle w:val="BodyTextL25"/>
        <w:spacing w:before="0"/>
      </w:pPr>
      <w:r>
        <w:t>Quelles interfaces sur R3 doivent être configurées avec OSPF ?</w:t>
      </w:r>
    </w:p>
    <w:p w:rsidR="001D0F32" w:rsidRDefault="001D0F32" w:rsidP="001D0F32">
      <w:pPr>
        <w:pStyle w:val="AnswerLineL25"/>
      </w:pPr>
      <w:r>
        <w:t>Saisissez vos réponses ici</w:t>
      </w:r>
    </w:p>
    <w:p w:rsidR="002A13C3" w:rsidRDefault="002A13C3" w:rsidP="002A13C3">
      <w:pPr>
        <w:pStyle w:val="BodyTextL25"/>
      </w:pPr>
      <w:r>
        <w:t>Configurez chaque interface à l'aide de la syntaxe de commande ci-dessous :</w:t>
      </w:r>
    </w:p>
    <w:p w:rsidR="002A13C3" w:rsidRPr="00622B2A" w:rsidRDefault="002A13C3" w:rsidP="002A13C3">
      <w:pPr>
        <w:pStyle w:val="CMD"/>
        <w:rPr>
          <w:lang w:val="en-US"/>
        </w:rPr>
      </w:pPr>
      <w:proofErr w:type="gramStart"/>
      <w:r w:rsidRPr="00622B2A">
        <w:rPr>
          <w:lang w:val="en-US"/>
        </w:rPr>
        <w:t>Router(</w:t>
      </w:r>
      <w:proofErr w:type="spellStart"/>
      <w:proofErr w:type="gramEnd"/>
      <w:r w:rsidRPr="00622B2A">
        <w:rPr>
          <w:lang w:val="en-US"/>
        </w:rPr>
        <w:t>config</w:t>
      </w:r>
      <w:proofErr w:type="spellEnd"/>
      <w:r w:rsidRPr="00622B2A">
        <w:rPr>
          <w:lang w:val="en-US"/>
        </w:rPr>
        <w:t>-if)#</w:t>
      </w:r>
      <w:r w:rsidRPr="00622B2A">
        <w:rPr>
          <w:b/>
          <w:lang w:val="en-US"/>
        </w:rPr>
        <w:t xml:space="preserve"> </w:t>
      </w:r>
      <w:proofErr w:type="spellStart"/>
      <w:r w:rsidRPr="00622B2A">
        <w:rPr>
          <w:b/>
          <w:lang w:val="en-US"/>
        </w:rPr>
        <w:t>ip</w:t>
      </w:r>
      <w:proofErr w:type="spellEnd"/>
      <w:r w:rsidRPr="00622B2A">
        <w:rPr>
          <w:b/>
          <w:lang w:val="en-US"/>
        </w:rPr>
        <w:t xml:space="preserve"> </w:t>
      </w:r>
      <w:proofErr w:type="spellStart"/>
      <w:r w:rsidRPr="00622B2A">
        <w:rPr>
          <w:b/>
          <w:lang w:val="en-US"/>
        </w:rPr>
        <w:t>ospf</w:t>
      </w:r>
      <w:proofErr w:type="spellEnd"/>
      <w:r w:rsidRPr="00622B2A">
        <w:rPr>
          <w:i/>
          <w:lang w:val="en-US"/>
        </w:rPr>
        <w:t xml:space="preserve"> process-id</w:t>
      </w:r>
      <w:r w:rsidRPr="00622B2A">
        <w:rPr>
          <w:b/>
          <w:lang w:val="en-US"/>
        </w:rPr>
        <w:t xml:space="preserve"> area</w:t>
      </w:r>
      <w:r w:rsidRPr="00622B2A">
        <w:rPr>
          <w:i/>
          <w:lang w:val="en-US"/>
        </w:rPr>
        <w:t xml:space="preserve"> area-id</w:t>
      </w:r>
    </w:p>
    <w:p w:rsidR="00A70184" w:rsidRPr="00622B2A" w:rsidRDefault="00A70184" w:rsidP="002A13C3">
      <w:pPr>
        <w:pStyle w:val="CMD"/>
        <w:rPr>
          <w:color w:val="FF0000"/>
          <w:lang w:val="en-US"/>
        </w:rPr>
      </w:pPr>
    </w:p>
    <w:p w:rsidR="00C049E9" w:rsidRDefault="00C049E9" w:rsidP="00C049E9">
      <w:pPr>
        <w:pStyle w:val="ConfigWindow"/>
      </w:pPr>
      <w:r>
        <w:t>Fermez la fenêtre de configuration.</w:t>
      </w:r>
    </w:p>
    <w:p w:rsidR="002A13C3" w:rsidRDefault="002A13C3" w:rsidP="00C049E9">
      <w:pPr>
        <w:pStyle w:val="Heading2"/>
      </w:pPr>
      <w:r>
        <w:lastRenderedPageBreak/>
        <w:t>Configurer des interfaces passives</w:t>
      </w:r>
    </w:p>
    <w:p w:rsidR="002A13C3" w:rsidRDefault="002A13C3" w:rsidP="002A13C3">
      <w:pPr>
        <w:pStyle w:val="BodyTextL25"/>
      </w:pPr>
      <w:r>
        <w:t>OSPF enverra son trafic de protocole à partir de toutes les interfaces qui participent au processus OSPF. Sur les liens qui ne sont pas configurés vers d'autres réseaux, tels que les réseaux locaux, ce trafic inutile consomme des ressources. La commande passive-interface empêchera le processus OSPF d'envoyer un trafic de protocole de routage inutile sur les interfaces LAN.</w:t>
      </w:r>
    </w:p>
    <w:p w:rsidR="00532197" w:rsidRDefault="00532197" w:rsidP="00532197">
      <w:pPr>
        <w:pStyle w:val="Heading4"/>
      </w:pPr>
      <w:r>
        <w:t>Question :</w:t>
      </w:r>
    </w:p>
    <w:p w:rsidR="001D0F32" w:rsidRDefault="002A13C3" w:rsidP="00532197">
      <w:pPr>
        <w:pStyle w:val="BodyTextL25"/>
        <w:spacing w:before="0"/>
      </w:pPr>
      <w:r>
        <w:t>Quelles interfaces sur R1, R2 et R3 sont des interfaces LAN ?</w:t>
      </w:r>
    </w:p>
    <w:p w:rsidR="001D0F32" w:rsidRDefault="001D0F32" w:rsidP="001D0F32">
      <w:pPr>
        <w:pStyle w:val="AnswerLineL25"/>
      </w:pPr>
      <w:r>
        <w:t>Saisissez vos réponses ici</w:t>
      </w:r>
    </w:p>
    <w:p w:rsidR="002A13C3" w:rsidRDefault="002A13C3" w:rsidP="00C049E9">
      <w:pPr>
        <w:pStyle w:val="BodyTextL25"/>
        <w:spacing w:before="0"/>
      </w:pPr>
      <w:r>
        <w:t>Configurez le processus OSPF sur chacun des trois routeurs à l'aide de la commande</w:t>
      </w:r>
      <w:r w:rsidRPr="00FE686C">
        <w:rPr>
          <w:b/>
        </w:rPr>
        <w:t xml:space="preserve"> passive </w:t>
      </w:r>
      <w:proofErr w:type="gramStart"/>
      <w:r w:rsidRPr="00FE686C">
        <w:rPr>
          <w:b/>
        </w:rPr>
        <w:t xml:space="preserve">interface </w:t>
      </w:r>
      <w:r>
        <w:t>.</w:t>
      </w:r>
      <w:proofErr w:type="gramEnd"/>
    </w:p>
    <w:p w:rsidR="00C049E9" w:rsidRDefault="00C049E9" w:rsidP="00C049E9">
      <w:pPr>
        <w:pStyle w:val="ConfigWindow"/>
      </w:pPr>
      <w:r>
        <w:t>Ouvrez la fenêtre de configuration.</w:t>
      </w:r>
    </w:p>
    <w:p w:rsidR="002A13C3" w:rsidRDefault="002A13C3" w:rsidP="002A13C3">
      <w:pPr>
        <w:pStyle w:val="CMD"/>
        <w:rPr>
          <w:i/>
        </w:rPr>
      </w:pPr>
      <w:r>
        <w:t>Router(config-router)#</w:t>
      </w:r>
      <w:r w:rsidRPr="00F65F6B">
        <w:rPr>
          <w:b/>
        </w:rPr>
        <w:t xml:space="preserve"> passive-interface</w:t>
      </w:r>
      <w:r w:rsidRPr="00F65F6B">
        <w:rPr>
          <w:i/>
        </w:rPr>
        <w:t xml:space="preserve"> interface</w:t>
      </w:r>
    </w:p>
    <w:p w:rsidR="002A13C3" w:rsidRDefault="002A13C3" w:rsidP="002A13C3">
      <w:pPr>
        <w:pStyle w:val="CMD"/>
      </w:pPr>
    </w:p>
    <w:p w:rsidR="00C049E9" w:rsidRDefault="00C049E9" w:rsidP="00C049E9">
      <w:pPr>
        <w:pStyle w:val="ConfigWindow"/>
      </w:pPr>
      <w:r>
        <w:t>Fermez la fenêtre de configuration.</w:t>
      </w:r>
    </w:p>
    <w:p w:rsidR="002A13C3" w:rsidRDefault="002A13C3" w:rsidP="00C049E9">
      <w:pPr>
        <w:pStyle w:val="Heading2"/>
      </w:pPr>
      <w:r>
        <w:t>Vérifier la configuration OSPF</w:t>
      </w:r>
    </w:p>
    <w:p w:rsidR="002A13C3" w:rsidRDefault="002A13C3" w:rsidP="002A13C3">
      <w:pPr>
        <w:pStyle w:val="BodyTextL25"/>
      </w:pPr>
      <w:r>
        <w:t xml:space="preserve">Utilisez les commandes </w:t>
      </w:r>
      <w:r w:rsidR="00A45C8B" w:rsidRPr="00C049E9">
        <w:rPr>
          <w:b/>
        </w:rPr>
        <w:t>show</w:t>
      </w:r>
      <w:r>
        <w:t xml:space="preserve"> pour vérifier la configuration réseau et de l'interface passive du processus OSPF sur chaque routeur. </w:t>
      </w:r>
    </w:p>
    <w:p w:rsidR="002A13C3" w:rsidRDefault="00E63A1B" w:rsidP="00532197">
      <w:pPr>
        <w:pStyle w:val="ConfigWindow"/>
      </w:pPr>
      <w:r>
        <w:t>Fin du document</w:t>
      </w:r>
    </w:p>
    <w:p w:rsidR="00EF20E0" w:rsidRPr="00831EC2" w:rsidRDefault="00EF20E0" w:rsidP="00831EC2">
      <w:pPr>
        <w:pStyle w:val="DevConfigs"/>
        <w:rPr>
          <w:rStyle w:val="DevConfigGray"/>
        </w:rPr>
      </w:pPr>
    </w:p>
    <w:sectPr w:rsidR="00EF20E0" w:rsidRPr="00831EC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2A2" w:rsidRDefault="002132A2" w:rsidP="00710659">
      <w:pPr>
        <w:spacing w:after="0" w:line="240" w:lineRule="auto"/>
      </w:pPr>
      <w:r>
        <w:separator/>
      </w:r>
    </w:p>
    <w:p w:rsidR="002132A2" w:rsidRDefault="002132A2"/>
  </w:endnote>
  <w:endnote w:type="continuationSeparator" w:id="0">
    <w:p w:rsidR="002132A2" w:rsidRDefault="002132A2" w:rsidP="00710659">
      <w:pPr>
        <w:spacing w:after="0" w:line="240" w:lineRule="auto"/>
      </w:pPr>
      <w:r>
        <w:continuationSeparator/>
      </w:r>
    </w:p>
    <w:p w:rsidR="002132A2" w:rsidRDefault="002132A2"/>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D114C8">
      <w:fldChar w:fldCharType="begin"/>
    </w:r>
    <w:r>
      <w:instrText xml:space="preserve"> SAVEDATE  \@ "aaaa"  \* MERGEFORMAT </w:instrText>
    </w:r>
    <w:r w:rsidR="00D114C8">
      <w:fldChar w:fldCharType="separate"/>
    </w:r>
    <w:r w:rsidR="00622B2A">
      <w:rPr>
        <w:noProof/>
      </w:rPr>
      <w:t>aa</w:t>
    </w:r>
    <w:r w:rsidR="00D114C8">
      <w:fldChar w:fldCharType="end"/>
    </w:r>
    <w:r>
      <w:t xml:space="preserve"> Cisco et/ou ses filiales. Tous droits réservés. Document public de Cisco</w:t>
    </w:r>
    <w:r>
      <w:tab/>
      <w:t xml:space="preserve">Page </w:t>
    </w:r>
    <w:r w:rsidR="00D114C8" w:rsidRPr="0090659A">
      <w:rPr>
        <w:b/>
        <w:szCs w:val="16"/>
      </w:rPr>
      <w:fldChar w:fldCharType="begin"/>
    </w:r>
    <w:r w:rsidRPr="0090659A">
      <w:rPr>
        <w:b/>
        <w:szCs w:val="16"/>
      </w:rPr>
      <w:instrText xml:space="preserve"> PAGE </w:instrText>
    </w:r>
    <w:r w:rsidR="00D114C8" w:rsidRPr="0090659A">
      <w:rPr>
        <w:b/>
        <w:szCs w:val="16"/>
      </w:rPr>
      <w:fldChar w:fldCharType="separate"/>
    </w:r>
    <w:r w:rsidR="00622B2A">
      <w:rPr>
        <w:b/>
        <w:noProof/>
        <w:szCs w:val="16"/>
      </w:rPr>
      <w:t>2</w:t>
    </w:r>
    <w:r w:rsidR="00D114C8" w:rsidRPr="0090659A">
      <w:rPr>
        <w:b/>
        <w:szCs w:val="16"/>
      </w:rPr>
      <w:fldChar w:fldCharType="end"/>
    </w:r>
    <w:r>
      <w:t xml:space="preserve"> sur </w:t>
    </w:r>
    <w:r w:rsidR="00D114C8" w:rsidRPr="0090659A">
      <w:rPr>
        <w:b/>
        <w:szCs w:val="16"/>
      </w:rPr>
      <w:fldChar w:fldCharType="begin"/>
    </w:r>
    <w:r w:rsidRPr="0090659A">
      <w:rPr>
        <w:b/>
        <w:szCs w:val="16"/>
      </w:rPr>
      <w:instrText xml:space="preserve"> NUMPAGES  </w:instrText>
    </w:r>
    <w:r w:rsidR="00D114C8" w:rsidRPr="0090659A">
      <w:rPr>
        <w:b/>
        <w:szCs w:val="16"/>
      </w:rPr>
      <w:fldChar w:fldCharType="separate"/>
    </w:r>
    <w:r w:rsidR="00622B2A">
      <w:rPr>
        <w:b/>
        <w:noProof/>
        <w:szCs w:val="16"/>
      </w:rPr>
      <w:t>3</w:t>
    </w:r>
    <w:r w:rsidR="00D114C8"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D114C8">
      <w:fldChar w:fldCharType="begin"/>
    </w:r>
    <w:r w:rsidR="007E6402">
      <w:instrText xml:space="preserve"> SAVEDATE  \@ "aaaa"  \* MERGEFORMAT </w:instrText>
    </w:r>
    <w:r w:rsidR="00D114C8">
      <w:fldChar w:fldCharType="separate"/>
    </w:r>
    <w:r w:rsidR="00622B2A">
      <w:rPr>
        <w:noProof/>
      </w:rPr>
      <w:t>aa</w:t>
    </w:r>
    <w:r w:rsidR="00D114C8">
      <w:fldChar w:fldCharType="end"/>
    </w:r>
    <w:r>
      <w:t xml:space="preserve"> Cisco et/ou ses filiales. Tous droits réservés. Document public de Cisco</w:t>
    </w:r>
    <w:r>
      <w:tab/>
      <w:t xml:space="preserve">Page </w:t>
    </w:r>
    <w:r w:rsidR="00D114C8" w:rsidRPr="0090659A">
      <w:rPr>
        <w:b/>
        <w:szCs w:val="16"/>
      </w:rPr>
      <w:fldChar w:fldCharType="begin"/>
    </w:r>
    <w:r w:rsidRPr="0090659A">
      <w:rPr>
        <w:b/>
        <w:szCs w:val="16"/>
      </w:rPr>
      <w:instrText xml:space="preserve"> PAGE </w:instrText>
    </w:r>
    <w:r w:rsidR="00D114C8" w:rsidRPr="0090659A">
      <w:rPr>
        <w:b/>
        <w:szCs w:val="16"/>
      </w:rPr>
      <w:fldChar w:fldCharType="separate"/>
    </w:r>
    <w:r w:rsidR="00622B2A">
      <w:rPr>
        <w:b/>
        <w:noProof/>
        <w:szCs w:val="16"/>
      </w:rPr>
      <w:t>1</w:t>
    </w:r>
    <w:r w:rsidR="00D114C8" w:rsidRPr="0090659A">
      <w:rPr>
        <w:b/>
        <w:szCs w:val="16"/>
      </w:rPr>
      <w:fldChar w:fldCharType="end"/>
    </w:r>
    <w:r>
      <w:t xml:space="preserve"> sur </w:t>
    </w:r>
    <w:r w:rsidR="00D114C8" w:rsidRPr="0090659A">
      <w:rPr>
        <w:b/>
        <w:szCs w:val="16"/>
      </w:rPr>
      <w:fldChar w:fldCharType="begin"/>
    </w:r>
    <w:r w:rsidRPr="0090659A">
      <w:rPr>
        <w:b/>
        <w:szCs w:val="16"/>
      </w:rPr>
      <w:instrText xml:space="preserve"> NUMPAGES  </w:instrText>
    </w:r>
    <w:r w:rsidR="00D114C8" w:rsidRPr="0090659A">
      <w:rPr>
        <w:b/>
        <w:szCs w:val="16"/>
      </w:rPr>
      <w:fldChar w:fldCharType="separate"/>
    </w:r>
    <w:r w:rsidR="00622B2A">
      <w:rPr>
        <w:b/>
        <w:noProof/>
        <w:szCs w:val="16"/>
      </w:rPr>
      <w:t>3</w:t>
    </w:r>
    <w:r w:rsidR="00D114C8"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2A2" w:rsidRDefault="002132A2" w:rsidP="00710659">
      <w:pPr>
        <w:spacing w:after="0" w:line="240" w:lineRule="auto"/>
      </w:pPr>
      <w:r>
        <w:separator/>
      </w:r>
    </w:p>
    <w:p w:rsidR="002132A2" w:rsidRDefault="002132A2"/>
  </w:footnote>
  <w:footnote w:type="continuationSeparator" w:id="0">
    <w:p w:rsidR="002132A2" w:rsidRDefault="002132A2" w:rsidP="00710659">
      <w:pPr>
        <w:spacing w:after="0" w:line="240" w:lineRule="auto"/>
      </w:pPr>
      <w:r>
        <w:continuationSeparator/>
      </w:r>
    </w:p>
    <w:p w:rsidR="002132A2" w:rsidRDefault="002132A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2A13C3" w:rsidP="008402F2">
        <w:pPr>
          <w:pStyle w:val="PageHead"/>
        </w:pPr>
        <w:r>
          <w:t>Packet Tracer - Configuration OSPFv2 point à point à zone unique</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D4DA626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E4D15F3"/>
    <w:multiLevelType w:val="multilevel"/>
    <w:tmpl w:val="E972736E"/>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ascii="Arial" w:hAnsi="Arial" w:cs="Arial" w:hint="default"/>
        </w:rPr>
      </w:lvl>
    </w:lvlOverride>
  </w:num>
  <w:num w:numId="1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c1sTSwtLQ0NrY0MzVW0lEKTi0uzszPAykwrAUAKPoyPywAAAA="/>
  </w:docVars>
  <w:rsids>
    <w:rsidRoot w:val="002A13C3"/>
    <w:rsid w:val="00001BDF"/>
    <w:rsid w:val="0000380F"/>
    <w:rsid w:val="00004175"/>
    <w:rsid w:val="000059C9"/>
    <w:rsid w:val="00012C22"/>
    <w:rsid w:val="000160F7"/>
    <w:rsid w:val="00016D5B"/>
    <w:rsid w:val="00016F30"/>
    <w:rsid w:val="0002047C"/>
    <w:rsid w:val="00021B9A"/>
    <w:rsid w:val="000242D6"/>
    <w:rsid w:val="00024EE5"/>
    <w:rsid w:val="0003451B"/>
    <w:rsid w:val="00037CF8"/>
    <w:rsid w:val="00041AF6"/>
    <w:rsid w:val="00044E62"/>
    <w:rsid w:val="00050BA4"/>
    <w:rsid w:val="0005141D"/>
    <w:rsid w:val="00051738"/>
    <w:rsid w:val="0005242B"/>
    <w:rsid w:val="00052548"/>
    <w:rsid w:val="00060696"/>
    <w:rsid w:val="000609D3"/>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D8F"/>
    <w:rsid w:val="000C2118"/>
    <w:rsid w:val="000C5AFC"/>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C6E"/>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B9C"/>
    <w:rsid w:val="00186CE1"/>
    <w:rsid w:val="00191F00"/>
    <w:rsid w:val="00192F12"/>
    <w:rsid w:val="00193F14"/>
    <w:rsid w:val="00196CBC"/>
    <w:rsid w:val="0019753E"/>
    <w:rsid w:val="00197614"/>
    <w:rsid w:val="001A0312"/>
    <w:rsid w:val="001A15DA"/>
    <w:rsid w:val="001A2694"/>
    <w:rsid w:val="001A3CC7"/>
    <w:rsid w:val="001A60A4"/>
    <w:rsid w:val="001A67A4"/>
    <w:rsid w:val="001A69AC"/>
    <w:rsid w:val="001B67D8"/>
    <w:rsid w:val="001B6F95"/>
    <w:rsid w:val="001C05A1"/>
    <w:rsid w:val="001C1D9E"/>
    <w:rsid w:val="001C5998"/>
    <w:rsid w:val="001C7C3B"/>
    <w:rsid w:val="001D0F32"/>
    <w:rsid w:val="001D5B6F"/>
    <w:rsid w:val="001D78A4"/>
    <w:rsid w:val="001E0AB8"/>
    <w:rsid w:val="001E38E0"/>
    <w:rsid w:val="001E4E72"/>
    <w:rsid w:val="001E62B3"/>
    <w:rsid w:val="001E6424"/>
    <w:rsid w:val="001F0171"/>
    <w:rsid w:val="001F0D77"/>
    <w:rsid w:val="001F643A"/>
    <w:rsid w:val="001F7DD8"/>
    <w:rsid w:val="00201928"/>
    <w:rsid w:val="00203E26"/>
    <w:rsid w:val="0020449C"/>
    <w:rsid w:val="002063CA"/>
    <w:rsid w:val="002113B8"/>
    <w:rsid w:val="002132A2"/>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13C3"/>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1B27"/>
    <w:rsid w:val="0031371D"/>
    <w:rsid w:val="0031727B"/>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20A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1D0"/>
    <w:rsid w:val="00516142"/>
    <w:rsid w:val="0051681C"/>
    <w:rsid w:val="00520027"/>
    <w:rsid w:val="0052093C"/>
    <w:rsid w:val="00521B31"/>
    <w:rsid w:val="00522469"/>
    <w:rsid w:val="0052400A"/>
    <w:rsid w:val="00532197"/>
    <w:rsid w:val="00536277"/>
    <w:rsid w:val="00536F43"/>
    <w:rsid w:val="005510BA"/>
    <w:rsid w:val="005538C8"/>
    <w:rsid w:val="00554B4E"/>
    <w:rsid w:val="00556C02"/>
    <w:rsid w:val="00561BB2"/>
    <w:rsid w:val="00563249"/>
    <w:rsid w:val="00570A65"/>
    <w:rsid w:val="005762B1"/>
    <w:rsid w:val="00580456"/>
    <w:rsid w:val="00580E73"/>
    <w:rsid w:val="005831A9"/>
    <w:rsid w:val="005861D3"/>
    <w:rsid w:val="00592329"/>
    <w:rsid w:val="00593386"/>
    <w:rsid w:val="00596998"/>
    <w:rsid w:val="0059790F"/>
    <w:rsid w:val="005A6E62"/>
    <w:rsid w:val="005B2FB3"/>
    <w:rsid w:val="005D2B29"/>
    <w:rsid w:val="005D354A"/>
    <w:rsid w:val="005D3E53"/>
    <w:rsid w:val="005D506C"/>
    <w:rsid w:val="005E2D1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B2A"/>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5F8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DF5"/>
    <w:rsid w:val="007F7C94"/>
    <w:rsid w:val="00802FFA"/>
    <w:rsid w:val="00810E4B"/>
    <w:rsid w:val="00814BAA"/>
    <w:rsid w:val="00814FD4"/>
    <w:rsid w:val="00816F0C"/>
    <w:rsid w:val="0082211C"/>
    <w:rsid w:val="00824295"/>
    <w:rsid w:val="00827A65"/>
    <w:rsid w:val="00830473"/>
    <w:rsid w:val="008313F3"/>
    <w:rsid w:val="00831EC2"/>
    <w:rsid w:val="008402F2"/>
    <w:rsid w:val="00840469"/>
    <w:rsid w:val="008405BB"/>
    <w:rsid w:val="0084564F"/>
    <w:rsid w:val="00846494"/>
    <w:rsid w:val="00847B20"/>
    <w:rsid w:val="008509D3"/>
    <w:rsid w:val="00853418"/>
    <w:rsid w:val="00856EBD"/>
    <w:rsid w:val="008571E2"/>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63E5"/>
    <w:rsid w:val="008B06D4"/>
    <w:rsid w:val="008B4F20"/>
    <w:rsid w:val="008B68E7"/>
    <w:rsid w:val="008B7FFD"/>
    <w:rsid w:val="008C1352"/>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05A"/>
    <w:rsid w:val="00923636"/>
    <w:rsid w:val="00926CB2"/>
    <w:rsid w:val="00930386"/>
    <w:rsid w:val="009309F5"/>
    <w:rsid w:val="00933237"/>
    <w:rsid w:val="00933F28"/>
    <w:rsid w:val="009400C3"/>
    <w:rsid w:val="009453F7"/>
    <w:rsid w:val="009476C0"/>
    <w:rsid w:val="00963E34"/>
    <w:rsid w:val="00964DFA"/>
    <w:rsid w:val="00970A69"/>
    <w:rsid w:val="00971E91"/>
    <w:rsid w:val="0098155C"/>
    <w:rsid w:val="00983B77"/>
    <w:rsid w:val="00996053"/>
    <w:rsid w:val="009A0B2F"/>
    <w:rsid w:val="009A1CF4"/>
    <w:rsid w:val="009A37D7"/>
    <w:rsid w:val="009A4E17"/>
    <w:rsid w:val="009A6955"/>
    <w:rsid w:val="009B2C5D"/>
    <w:rsid w:val="009B341C"/>
    <w:rsid w:val="009B5747"/>
    <w:rsid w:val="009C0B81"/>
    <w:rsid w:val="009C3182"/>
    <w:rsid w:val="009D2C27"/>
    <w:rsid w:val="009D503E"/>
    <w:rsid w:val="009E2309"/>
    <w:rsid w:val="009E412C"/>
    <w:rsid w:val="009E42B9"/>
    <w:rsid w:val="009E4E17"/>
    <w:rsid w:val="009E54B9"/>
    <w:rsid w:val="009F4C2E"/>
    <w:rsid w:val="00A014A3"/>
    <w:rsid w:val="00A027CC"/>
    <w:rsid w:val="00A0412D"/>
    <w:rsid w:val="00A15DF0"/>
    <w:rsid w:val="00A21211"/>
    <w:rsid w:val="00A30F8A"/>
    <w:rsid w:val="00A32173"/>
    <w:rsid w:val="00A33890"/>
    <w:rsid w:val="00A34E7F"/>
    <w:rsid w:val="00A415A5"/>
    <w:rsid w:val="00A4286D"/>
    <w:rsid w:val="00A45C8B"/>
    <w:rsid w:val="00A46F0A"/>
    <w:rsid w:val="00A46F25"/>
    <w:rsid w:val="00A47CC2"/>
    <w:rsid w:val="00A502BA"/>
    <w:rsid w:val="00A60146"/>
    <w:rsid w:val="00A601A9"/>
    <w:rsid w:val="00A60F6F"/>
    <w:rsid w:val="00A622C4"/>
    <w:rsid w:val="00A6283D"/>
    <w:rsid w:val="00A676FF"/>
    <w:rsid w:val="00A70184"/>
    <w:rsid w:val="00A73EBA"/>
    <w:rsid w:val="00A754B4"/>
    <w:rsid w:val="00A76665"/>
    <w:rsid w:val="00A76749"/>
    <w:rsid w:val="00A807C1"/>
    <w:rsid w:val="00A82658"/>
    <w:rsid w:val="00A83374"/>
    <w:rsid w:val="00A96172"/>
    <w:rsid w:val="00A96D52"/>
    <w:rsid w:val="00A97C5F"/>
    <w:rsid w:val="00AB0D6A"/>
    <w:rsid w:val="00AB3E68"/>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52D0"/>
    <w:rsid w:val="00B7675A"/>
    <w:rsid w:val="00B81898"/>
    <w:rsid w:val="00B82DED"/>
    <w:rsid w:val="00B8606B"/>
    <w:rsid w:val="00B878E7"/>
    <w:rsid w:val="00B879CC"/>
    <w:rsid w:val="00B97278"/>
    <w:rsid w:val="00B97943"/>
    <w:rsid w:val="00BA1D0B"/>
    <w:rsid w:val="00BA2B50"/>
    <w:rsid w:val="00BA6972"/>
    <w:rsid w:val="00BB1E0D"/>
    <w:rsid w:val="00BB26C8"/>
    <w:rsid w:val="00BB4CC2"/>
    <w:rsid w:val="00BB4D9B"/>
    <w:rsid w:val="00BB73FF"/>
    <w:rsid w:val="00BB7688"/>
    <w:rsid w:val="00BC7423"/>
    <w:rsid w:val="00BC7CAC"/>
    <w:rsid w:val="00BD6D76"/>
    <w:rsid w:val="00BE56B3"/>
    <w:rsid w:val="00BE676D"/>
    <w:rsid w:val="00BF04E8"/>
    <w:rsid w:val="00BF16BF"/>
    <w:rsid w:val="00BF4D1F"/>
    <w:rsid w:val="00BF76BE"/>
    <w:rsid w:val="00C02A73"/>
    <w:rsid w:val="00C049E9"/>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56E"/>
    <w:rsid w:val="00C47F2E"/>
    <w:rsid w:val="00C51D36"/>
    <w:rsid w:val="00C52BA6"/>
    <w:rsid w:val="00C57A1A"/>
    <w:rsid w:val="00C60BBD"/>
    <w:rsid w:val="00C6258F"/>
    <w:rsid w:val="00C62C41"/>
    <w:rsid w:val="00C63DF6"/>
    <w:rsid w:val="00C63E58"/>
    <w:rsid w:val="00C6495E"/>
    <w:rsid w:val="00C670EE"/>
    <w:rsid w:val="00C67E3B"/>
    <w:rsid w:val="00C71F4C"/>
    <w:rsid w:val="00C73E03"/>
    <w:rsid w:val="00C74EF0"/>
    <w:rsid w:val="00C75875"/>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644"/>
    <w:rsid w:val="00CF5D31"/>
    <w:rsid w:val="00CF5F3B"/>
    <w:rsid w:val="00CF7733"/>
    <w:rsid w:val="00CF791A"/>
    <w:rsid w:val="00D00513"/>
    <w:rsid w:val="00D00D7D"/>
    <w:rsid w:val="00D030AE"/>
    <w:rsid w:val="00D114C8"/>
    <w:rsid w:val="00D139C8"/>
    <w:rsid w:val="00D17F81"/>
    <w:rsid w:val="00D2053A"/>
    <w:rsid w:val="00D2758C"/>
    <w:rsid w:val="00D275CA"/>
    <w:rsid w:val="00D2789B"/>
    <w:rsid w:val="00D345AB"/>
    <w:rsid w:val="00D41566"/>
    <w:rsid w:val="00D452F4"/>
    <w:rsid w:val="00D458EC"/>
    <w:rsid w:val="00D501B0"/>
    <w:rsid w:val="00D5045B"/>
    <w:rsid w:val="00D52582"/>
    <w:rsid w:val="00D52DA8"/>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3C44"/>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3A1B"/>
    <w:rsid w:val="00E67A6E"/>
    <w:rsid w:val="00E70096"/>
    <w:rsid w:val="00E71B43"/>
    <w:rsid w:val="00E81612"/>
    <w:rsid w:val="00E82BD7"/>
    <w:rsid w:val="00E859E3"/>
    <w:rsid w:val="00E87D18"/>
    <w:rsid w:val="00E87D62"/>
    <w:rsid w:val="00E97333"/>
    <w:rsid w:val="00E973BA"/>
    <w:rsid w:val="00EA486E"/>
    <w:rsid w:val="00EA4FA3"/>
    <w:rsid w:val="00EB001B"/>
    <w:rsid w:val="00EB3082"/>
    <w:rsid w:val="00EB6C33"/>
    <w:rsid w:val="00EC6F62"/>
    <w:rsid w:val="00ED2EA2"/>
    <w:rsid w:val="00ED6019"/>
    <w:rsid w:val="00ED7830"/>
    <w:rsid w:val="00EE2BFF"/>
    <w:rsid w:val="00EE3909"/>
    <w:rsid w:val="00EF20E0"/>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E2B"/>
    <w:rsid w:val="00F7050A"/>
    <w:rsid w:val="00F73D50"/>
    <w:rsid w:val="00F75533"/>
    <w:rsid w:val="00F759FF"/>
    <w:rsid w:val="00F8036D"/>
    <w:rsid w:val="00F809DC"/>
    <w:rsid w:val="00F86EB0"/>
    <w:rsid w:val="00FA154B"/>
    <w:rsid w:val="00FA3811"/>
    <w:rsid w:val="00FA3B9F"/>
    <w:rsid w:val="00FA3F06"/>
    <w:rsid w:val="00FA4A26"/>
    <w:rsid w:val="00FA6357"/>
    <w:rsid w:val="00FA7084"/>
    <w:rsid w:val="00FA7BEF"/>
    <w:rsid w:val="00FB1105"/>
    <w:rsid w:val="00FB1929"/>
    <w:rsid w:val="00FB5FD9"/>
    <w:rsid w:val="00FB6713"/>
    <w:rsid w:val="00FC3CB4"/>
    <w:rsid w:val="00FD1398"/>
    <w:rsid w:val="00FD33AB"/>
    <w:rsid w:val="00FD3BA4"/>
    <w:rsid w:val="00FD4724"/>
    <w:rsid w:val="00FD4A68"/>
    <w:rsid w:val="00FD68ED"/>
    <w:rsid w:val="00FD7E00"/>
    <w:rsid w:val="00FE2824"/>
    <w:rsid w:val="00FE2F0E"/>
    <w:rsid w:val="00FE53F2"/>
    <w:rsid w:val="00FE661F"/>
    <w:rsid w:val="00FE686C"/>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3219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32197"/>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C049E9"/>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532197"/>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31727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C049E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7587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727B"/>
    <w:pPr>
      <w:spacing w:before="0" w:after="0"/>
    </w:pPr>
    <w:rPr>
      <w:i/>
      <w:color w:val="FFFFFF" w:themeColor="background1"/>
      <w:sz w:val="6"/>
    </w:rPr>
  </w:style>
  <w:style w:type="paragraph" w:customStyle="1" w:styleId="SubStepAlpha">
    <w:name w:val="SubStep Alpha"/>
    <w:basedOn w:val="BodyTextL25"/>
    <w:qFormat/>
    <w:rsid w:val="0053219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532197"/>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32197"/>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727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2A13C3"/>
    <w:pPr>
      <w:spacing w:line="240" w:lineRule="auto"/>
    </w:pPr>
    <w:rPr>
      <w:rFonts w:eastAsia="SimSun"/>
      <w:sz w:val="20"/>
    </w:rPr>
  </w:style>
  <w:style w:type="paragraph" w:styleId="ListParagraph">
    <w:name w:val="List Paragraph"/>
    <w:basedOn w:val="Normal"/>
    <w:uiPriority w:val="34"/>
    <w:qFormat/>
    <w:rsid w:val="002A13C3"/>
    <w:pPr>
      <w:ind w:left="720"/>
      <w:contextualSpacing/>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A2800656D44450C9C41A5952F182339"/>
        <w:category>
          <w:name w:val="General"/>
          <w:gallery w:val="placeholder"/>
        </w:category>
        <w:types>
          <w:type w:val="bbPlcHdr"/>
        </w:types>
        <w:behaviors>
          <w:behavior w:val="content"/>
        </w:behaviors>
        <w:guid w:val="{8EF0821A-2725-450D-9E4D-C723DE940299}"/>
      </w:docPartPr>
      <w:docPartBody>
        <w:p w:rsidR="006F64A6" w:rsidRDefault="006F1D3E">
          <w:pPr>
            <w:pStyle w:val="6A2800656D44450C9C41A5952F182339"/>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F1D3E"/>
    <w:rsid w:val="002038DB"/>
    <w:rsid w:val="002B00FB"/>
    <w:rsid w:val="004301C8"/>
    <w:rsid w:val="00444F61"/>
    <w:rsid w:val="004F6F03"/>
    <w:rsid w:val="005A214E"/>
    <w:rsid w:val="005D5524"/>
    <w:rsid w:val="006A1C89"/>
    <w:rsid w:val="006F1D3E"/>
    <w:rsid w:val="006F64A6"/>
    <w:rsid w:val="00880FA2"/>
    <w:rsid w:val="00940BE0"/>
    <w:rsid w:val="00B27A48"/>
    <w:rsid w:val="00CE7DBA"/>
    <w:rsid w:val="00D20EDE"/>
    <w:rsid w:val="00EB40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6F03"/>
    <w:rPr>
      <w:color w:val="808080"/>
    </w:rPr>
  </w:style>
  <w:style w:type="paragraph" w:customStyle="1" w:styleId="6A2800656D44450C9C41A5952F182339">
    <w:name w:val="6A2800656D44450C9C41A5952F182339"/>
    <w:rsid w:val="004F6F03"/>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13B7F6EF2D5154C9723AF948D2404B1" ma:contentTypeVersion="15" ma:contentTypeDescription="Crée un document." ma:contentTypeScope="" ma:versionID="4eb33991205ea815a522f309ac256bf6">
  <xsd:schema xmlns:xsd="http://www.w3.org/2001/XMLSchema" xmlns:xs="http://www.w3.org/2001/XMLSchema" xmlns:p="http://schemas.microsoft.com/office/2006/metadata/properties" xmlns:ns2="4a125c76-6f90-4a2e-a53d-db8f39ff3c7e" xmlns:ns3="032b3966-523b-4a23-b1cd-dffc38df45f7" targetNamespace="http://schemas.microsoft.com/office/2006/metadata/properties" ma:root="true" ma:fieldsID="954cb6958caaeb4a1d9b8d7690b4da93" ns2:_="" ns3:_="">
    <xsd:import namespace="4a125c76-6f90-4a2e-a53d-db8f39ff3c7e"/>
    <xsd:import namespace="032b3966-523b-4a23-b1cd-dffc38df45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5c76-6f90-4a2e-a53d-db8f39ff3c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5d2c6c6-8d84-4f27-8541-24b50ad5e0f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2b3966-523b-4a23-b1cd-dffc38df45f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609f6b4-40c4-499d-ac2d-f8d63e969762}" ma:internalName="TaxCatchAll" ma:showField="CatchAllData" ma:web="032b3966-523b-4a23-b1cd-dffc38df45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125c76-6f90-4a2e-a53d-db8f39ff3c7e">
      <Terms xmlns="http://schemas.microsoft.com/office/infopath/2007/PartnerControls"/>
    </lcf76f155ced4ddcb4097134ff3c332f>
    <TaxCatchAll xmlns="032b3966-523b-4a23-b1cd-dffc38df45f7" xsi:nil="true"/>
  </documentManagement>
</p:properties>
</file>

<file path=customXml/itemProps1.xml><?xml version="1.0" encoding="utf-8"?>
<ds:datastoreItem xmlns:ds="http://schemas.openxmlformats.org/officeDocument/2006/customXml" ds:itemID="{B8DF0E2A-0D0D-4368-8A3B-03626A399170}">
  <ds:schemaRefs>
    <ds:schemaRef ds:uri="http://schemas.openxmlformats.org/officeDocument/2006/bibliography"/>
  </ds:schemaRefs>
</ds:datastoreItem>
</file>

<file path=customXml/itemProps2.xml><?xml version="1.0" encoding="utf-8"?>
<ds:datastoreItem xmlns:ds="http://schemas.openxmlformats.org/officeDocument/2006/customXml" ds:itemID="{91009C18-A48B-41D6-8FAA-D77903EC263F}"/>
</file>

<file path=customXml/itemProps3.xml><?xml version="1.0" encoding="utf-8"?>
<ds:datastoreItem xmlns:ds="http://schemas.openxmlformats.org/officeDocument/2006/customXml" ds:itemID="{CA791F3B-3F31-4DF7-9842-645C9E8F4160}"/>
</file>

<file path=customXml/itemProps4.xml><?xml version="1.0" encoding="utf-8"?>
<ds:datastoreItem xmlns:ds="http://schemas.openxmlformats.org/officeDocument/2006/customXml" ds:itemID="{48823851-E899-42BB-8254-043620A978D7}"/>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Packet Tracer - Point-to-Point Single-Area OSPFv2 Configuration</vt:lpstr>
    </vt:vector>
  </TitlesOfParts>
  <Company>Cisco Systems, Inc.</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OSPFv2 point à point à zone unique</dc:title>
  <dc:creator>Martin Benson</dc:creator>
  <dc:description>2013</dc:description>
  <cp:lastModifiedBy>Dawlat</cp:lastModifiedBy>
  <cp:revision>5</cp:revision>
  <cp:lastPrinted>2019-11-19T14:00:00Z</cp:lastPrinted>
  <dcterms:created xsi:type="dcterms:W3CDTF">2019-12-01T15:35:00Z</dcterms:created>
  <dcterms:modified xsi:type="dcterms:W3CDTF">2020-08-30T09:16:00Z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0x010100B13B7F6EF2D5154C9723AF948D2404B1</vt:lpwstr>
  </property>
</Properties>
</file>